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44" w:rsidRPr="00FC102F" w:rsidRDefault="00056D44" w:rsidP="00056D44">
      <w:pPr>
        <w:autoSpaceDE w:val="0"/>
        <w:autoSpaceDN w:val="0"/>
        <w:adjustRightInd w:val="0"/>
        <w:jc w:val="center"/>
        <w:rPr>
          <w:rFonts w:ascii="Trebuchet MS" w:hAnsi="Trebuchet MS"/>
          <w:b/>
          <w:lang w:val="ro-RO"/>
        </w:rPr>
      </w:pPr>
      <w:r w:rsidRPr="00FC102F">
        <w:rPr>
          <w:rFonts w:ascii="Trebuchet MS" w:hAnsi="Trebuchet MS" w:cs="Arial"/>
          <w:lang w:val="ro-RO"/>
        </w:rPr>
        <w:t xml:space="preserve">    </w:t>
      </w:r>
      <w:r w:rsidRPr="00FC102F">
        <w:rPr>
          <w:rFonts w:ascii="Trebuchet MS" w:hAnsi="Trebuchet MS"/>
          <w:b/>
          <w:bCs/>
          <w:lang w:val="ro-RO"/>
        </w:rPr>
        <w:t>HOTĂRÂRE nr. 1.425 din 11 octombrie 2006</w:t>
      </w:r>
    </w:p>
    <w:p w:rsidR="00056D44" w:rsidRPr="00FC102F" w:rsidRDefault="00056D44" w:rsidP="00056D44">
      <w:pPr>
        <w:autoSpaceDE w:val="0"/>
        <w:autoSpaceDN w:val="0"/>
        <w:adjustRightInd w:val="0"/>
        <w:jc w:val="center"/>
        <w:rPr>
          <w:rFonts w:ascii="Trebuchet MS" w:hAnsi="Trebuchet MS"/>
          <w:b/>
          <w:lang w:val="ro-RO"/>
        </w:rPr>
      </w:pPr>
      <w:r w:rsidRPr="00FC102F">
        <w:rPr>
          <w:rFonts w:ascii="Trebuchet MS" w:hAnsi="Trebuchet MS"/>
          <w:b/>
          <w:lang w:val="ro-RO"/>
        </w:rPr>
        <w:t>pentru aprobarea Normelor metodologice de aplicare a prevederilor</w:t>
      </w:r>
    </w:p>
    <w:p w:rsidR="00056D44" w:rsidRPr="00FC102F" w:rsidRDefault="00056D44" w:rsidP="00056D44">
      <w:pPr>
        <w:autoSpaceDE w:val="0"/>
        <w:autoSpaceDN w:val="0"/>
        <w:adjustRightInd w:val="0"/>
        <w:jc w:val="center"/>
        <w:rPr>
          <w:rFonts w:ascii="Trebuchet MS" w:hAnsi="Trebuchet MS"/>
          <w:b/>
          <w:lang w:val="en-GB"/>
        </w:rPr>
      </w:pPr>
      <w:r w:rsidRPr="00FC102F">
        <w:rPr>
          <w:rFonts w:ascii="Trebuchet MS" w:hAnsi="Trebuchet MS"/>
          <w:b/>
          <w:vanish/>
          <w:lang w:val="ro-RO"/>
        </w:rPr>
        <w:t>&lt;LLNK 12006   319 10 201   0 52&gt;</w:t>
      </w:r>
      <w:r w:rsidRPr="00FC102F">
        <w:rPr>
          <w:rFonts w:ascii="Trebuchet MS" w:hAnsi="Trebuchet MS"/>
          <w:b/>
          <w:u w:val="single"/>
          <w:lang w:val="ro-RO"/>
        </w:rPr>
        <w:t>Legii securităţii şi sănătăţii în munca nr. 319/2006</w:t>
      </w:r>
      <w:r w:rsidR="00FC102F" w:rsidRPr="00FC102F">
        <w:rPr>
          <w:rFonts w:ascii="Trebuchet MS" w:hAnsi="Trebuchet MS"/>
          <w:b/>
          <w:u w:val="single"/>
          <w:lang w:val="ro-RO"/>
        </w:rPr>
        <w:t xml:space="preserve"> </w:t>
      </w:r>
      <w:r w:rsidR="00FC102F" w:rsidRPr="00FC102F">
        <w:rPr>
          <w:rFonts w:ascii="Trebuchet MS" w:hAnsi="Trebuchet MS"/>
          <w:b/>
          <w:u w:val="single"/>
          <w:lang w:val="ro-RO"/>
        </w:rPr>
        <w:t>cu modificarile si completarile ulterioare</w:t>
      </w:r>
      <w:r w:rsidR="00FC102F" w:rsidRPr="00FC102F">
        <w:rPr>
          <w:rFonts w:ascii="Trebuchet MS" w:hAnsi="Trebuchet MS"/>
          <w:b/>
          <w:u w:val="single"/>
          <w:lang w:val="en-GB"/>
        </w:rPr>
        <w:t>:</w:t>
      </w:r>
    </w:p>
    <w:p w:rsidR="00056D44" w:rsidRPr="00FC102F" w:rsidRDefault="00056D44" w:rsidP="00056D44">
      <w:pPr>
        <w:autoSpaceDE w:val="0"/>
        <w:autoSpaceDN w:val="0"/>
        <w:adjustRightInd w:val="0"/>
        <w:jc w:val="both"/>
        <w:rPr>
          <w:rFonts w:ascii="Trebuchet MS" w:hAnsi="Trebuchet MS" w:cs="Arial"/>
          <w:lang w:val="ro-RO"/>
        </w:rPr>
      </w:pP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ART. 37</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În vederea abilitarii pentru activităţile de prevenire şi protecţie prevăzute la art. 15, solicitantii vor transmite un dosar care va cuprinde următoarele documente: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 cerere de abilitare pentru servicii externe de prevenire şi protecţie, conform modelului prezentat în a</w:t>
      </w:r>
      <w:bookmarkStart w:id="0" w:name="_GoBack"/>
      <w:bookmarkEnd w:id="0"/>
      <w:r w:rsidRPr="00FC102F">
        <w:rPr>
          <w:rFonts w:ascii="Trebuchet MS" w:hAnsi="Trebuchet MS" w:cs="Arial"/>
          <w:lang w:val="ro-RO"/>
        </w:rPr>
        <w:t>nexa nr. 8;</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b) copie de pe certificatul de înregistrare la registrul comerţului şi, după caz, copie de pe actul constitutiv;</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c) copii de pe documentele care atesta pregătirea profesională şi nivelul de pregătire în domeniul securităţii şi sănătăţii în munca, conform prevederilor art. 31 şi 32;</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d) curriculum vitae pentru personalul care va desfasura activităţile de prevenire şi protecţie;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e) documente care atesta experienta de cel puţin 5 ani în domeniul securităţii şi sănătăţii în munca pentru personalul care va desfasura activităţile de prevenire şi protecţie;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f) memoriu de prezentare din care sa rezulte mijloacele materiale şi resursele umane de care dispune;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g) copii de pe decizia de numire şi contractul individual de munca pe perioada nedeterminată pentru conducătorul serviciului extern;</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h) copii de pe contractele individuale de munca ale personalului de execuţie din serviciul extern;</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i) declaraţii ale personalului serviciului extern privind păstrarea confidenţialităţii, în timpul şi după încetarea desfăşurării activităţilor de prevenire şi protecţie, asupra informaţiilor la care are acces.</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ART. 38</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Solicitantul trebuie sa transmită prin posta dosarul prevăzut la art. 37, cu cel puţin 10 zile înainte de data întrunirii Comisiei de abilitare şi avizare.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ART. 39</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Comisia de abilitare şi avizare are urmatoarele obligaţii:</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 sa afiseze data întrunirii la sediul direcţiei de munca, solidaritate socială şi familie teritoriale, respectiv a municipiului Bucureşti, şi sa o facă publica şi prin alte mijloace, cum ar fi internet sau presa locală, cu cel puţin o luna înainte;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b) sa se întrunească, cel puţin o data pe trimestru, în funcţie de numărul de dosare primite;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c) sa analizeze dosarele solicitanţilor cu conţinutul prevăzut la art. 37;</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d) sa elibereze certificatele de abilitare, conform modelului prevăzut în anexa nr. 9, pentru solicitantii care îndeplinesc condiţiile pentru servicii externe de prevenire şi protecţie prevăzute de prezentele norme metodologice;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e) sa restituie solicitanţilor, prin posta, dosarele care nu conţin toate documentele prevăzute la art. 37 şi motivarea acestei decizii;</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f) sa transmită titularilor, prin posta, cu confirmare de primire, în termen de 10 zile de la data întrunirii Comisiei de abilitare şi avizare, certificatele de abilitare emise;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g) sa ţină evidenta certificatelor de abilitare emise şi sa arhiveze dosarele în baza cărora s-au emis;</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h) sa facă publica lista actualizată a serviciilor externe de prevenire şi protecţie abilitate.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ART. 40</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(1) Solicitantul căruia i s-a restituit dosarul are dreptul, în termen de 30 de zile de la data primirii, sa facă contestaţie la Ministerul Muncii, Solidarităţii Sociale şi Familiei.</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(2) Răspunsul la contestaţie va fi transmis prin posta în termen de 30 de zile.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ART. 41</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Valabilitatea certificatului de abilitare este de 3 ani.</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ART. 42</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(1) Reînnoirea certificatului de abilitare se face la expirarea termenului de valabilitate sau la modificarea condiţiilor în baza cărora s-a emis.</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(2) Pentru reînnoirea certificatului de abilitare, solicitantul va prezenta următoarele documente: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 dosarul prevăzut la art. 37;</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lastRenderedPageBreak/>
        <w:t xml:space="preserve">    b) rapoartele semestriale înregistrate la inspectoratul teritorial de munca;</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c) copii de pe documentele care atesta absolvirea cursurilor de pregătire în domeniul securităţii şi sănătăţii în munca, în cazul în care au fost efectuate.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ART. 43</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(1) Modificarea oricărei condiţii în baza căreia s-a emis certificatul de abilitare, fără comunicarea şi transmiterea documentelor doveditoare Comisiei de abilitare şi avizare în termen de maximum 5 zile lucrătoare, conduce la încetarea valabilităţii acestuia.</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(2) După analizarea noilor condiţii prevăzute la alin. (1), Comisia de abilitare şi avizare va decide dacă certificatul de abilitare isi menţine sau isi pierde valabilitatea şi va comunica în scris titularului de certificat aceasta decizie.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ART. 44</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(1) Inspectoratele teritoriale de munca verifica respectarea de către serviciile externe a condiţiilor în baza cărora a fost emis certificatul de abilitare şi propun, în scris, Comisiei de abilitare şi avizare, dacă este cazul, anularea certificatului.</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(2) Comisia de abilitare şi avizare analizează argumentele aduse în susţinerea propunerii de anulare a certificatului de abilitare şi, pe baza acestora, poate emite decizia de anulare.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(3) Decizia de anulare a certificatului de abilitare şi motivatia acesteia se transmit titularului, în termen de 10 zile de la data emiterii.</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(4) Titularul certificatului de abilitare anulat poate face contestaţie la Ministerul Muncii, Solidarităţii Sociale şi Familiei, în termen de 30 de zile de la data primirii deciziei de anulare.</w:t>
      </w:r>
    </w:p>
    <w:p w:rsidR="00056D44" w:rsidRPr="00FC102F" w:rsidRDefault="00056D44" w:rsidP="00056D44">
      <w:pPr>
        <w:autoSpaceDE w:val="0"/>
        <w:autoSpaceDN w:val="0"/>
        <w:adjustRightInd w:val="0"/>
        <w:jc w:val="both"/>
        <w:rPr>
          <w:rFonts w:ascii="Trebuchet MS" w:hAnsi="Trebuchet MS" w:cs="Arial"/>
          <w:lang w:val="ro-RO"/>
        </w:rPr>
      </w:pPr>
      <w:r w:rsidRPr="00FC102F">
        <w:rPr>
          <w:rFonts w:ascii="Trebuchet MS" w:hAnsi="Trebuchet MS" w:cs="Arial"/>
          <w:lang w:val="ro-RO"/>
        </w:rPr>
        <w:t xml:space="preserve">    (5) Răspunsul la contestaţie va fi transmis prin posta, cu confirmare de primire, în termen de 30 de zile.</w:t>
      </w:r>
    </w:p>
    <w:p w:rsidR="002658A1" w:rsidRPr="00FC102F" w:rsidRDefault="00FC102F">
      <w:pPr>
        <w:rPr>
          <w:rFonts w:ascii="Trebuchet MS" w:hAnsi="Trebuchet MS"/>
        </w:rPr>
      </w:pPr>
    </w:p>
    <w:sectPr w:rsidR="002658A1" w:rsidRPr="00FC102F" w:rsidSect="008B4B48">
      <w:pgSz w:w="11905" w:h="16837"/>
      <w:pgMar w:top="566" w:right="566" w:bottom="283" w:left="566"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34"/>
    <w:rsid w:val="00056D44"/>
    <w:rsid w:val="000C5F34"/>
    <w:rsid w:val="0035351E"/>
    <w:rsid w:val="0037675A"/>
    <w:rsid w:val="004903BE"/>
    <w:rsid w:val="008B4B48"/>
    <w:rsid w:val="00FC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Antonescu</dc:creator>
  <cp:keywords/>
  <dc:description/>
  <cp:lastModifiedBy>Marin Antonescu</cp:lastModifiedBy>
  <cp:revision>3</cp:revision>
  <cp:lastPrinted>2024-05-16T10:50:00Z</cp:lastPrinted>
  <dcterms:created xsi:type="dcterms:W3CDTF">2024-05-16T08:11:00Z</dcterms:created>
  <dcterms:modified xsi:type="dcterms:W3CDTF">2024-05-16T10:50:00Z</dcterms:modified>
</cp:coreProperties>
</file>